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5B" w:rsidRPr="00A26A66" w:rsidRDefault="00B61A5B" w:rsidP="00B61A5B">
      <w:pPr>
        <w:contextualSpacing/>
        <w:jc w:val="right"/>
        <w:rPr>
          <w:b/>
          <w:bCs/>
          <w:sz w:val="24"/>
        </w:rPr>
      </w:pPr>
      <w:r w:rsidRPr="00A26A66">
        <w:rPr>
          <w:b/>
          <w:bCs/>
          <w:sz w:val="24"/>
        </w:rPr>
        <w:t xml:space="preserve">«У Т В Е </w:t>
      </w:r>
      <w:proofErr w:type="gramStart"/>
      <w:r w:rsidRPr="00A26A66">
        <w:rPr>
          <w:b/>
          <w:bCs/>
          <w:sz w:val="24"/>
        </w:rPr>
        <w:t>Р</w:t>
      </w:r>
      <w:proofErr w:type="gramEnd"/>
      <w:r w:rsidRPr="00A26A66">
        <w:rPr>
          <w:b/>
          <w:bCs/>
          <w:sz w:val="24"/>
        </w:rPr>
        <w:t xml:space="preserve"> Ж Д А Ю»                                                                                                                                                                                              </w:t>
      </w:r>
    </w:p>
    <w:p w:rsidR="00B61A5B" w:rsidRPr="00A26A66" w:rsidRDefault="00B61A5B" w:rsidP="00B61A5B">
      <w:pPr>
        <w:contextualSpacing/>
        <w:jc w:val="right"/>
        <w:rPr>
          <w:b/>
          <w:sz w:val="24"/>
        </w:rPr>
      </w:pPr>
      <w:r w:rsidRPr="00A26A66">
        <w:rPr>
          <w:b/>
          <w:sz w:val="24"/>
        </w:rPr>
        <w:t xml:space="preserve">Генеральный директор </w:t>
      </w:r>
    </w:p>
    <w:p w:rsidR="00B61A5B" w:rsidRPr="00A26A66" w:rsidRDefault="00B61A5B" w:rsidP="00B61A5B">
      <w:pPr>
        <w:contextualSpacing/>
        <w:jc w:val="right"/>
        <w:rPr>
          <w:b/>
          <w:bCs/>
          <w:sz w:val="24"/>
        </w:rPr>
      </w:pPr>
      <w:r w:rsidRPr="00A26A66">
        <w:rPr>
          <w:b/>
          <w:sz w:val="24"/>
        </w:rPr>
        <w:t>_______________</w:t>
      </w:r>
      <w:r>
        <w:rPr>
          <w:b/>
          <w:sz w:val="24"/>
        </w:rPr>
        <w:t>/</w:t>
      </w:r>
      <w:r w:rsidRPr="00A26A66">
        <w:rPr>
          <w:b/>
          <w:sz w:val="24"/>
        </w:rPr>
        <w:t>___________</w:t>
      </w:r>
    </w:p>
    <w:p w:rsidR="00B61A5B" w:rsidRPr="00B56318" w:rsidRDefault="00B61A5B" w:rsidP="00B61A5B">
      <w:pPr>
        <w:contextualSpacing/>
        <w:jc w:val="right"/>
        <w:rPr>
          <w:b/>
          <w:sz w:val="24"/>
        </w:rPr>
      </w:pPr>
      <w:r w:rsidRPr="00B56318">
        <w:rPr>
          <w:b/>
          <w:sz w:val="24"/>
        </w:rPr>
        <w:t xml:space="preserve"> «</w:t>
      </w:r>
      <w:r>
        <w:rPr>
          <w:b/>
          <w:sz w:val="24"/>
        </w:rPr>
        <w:t>__</w:t>
      </w:r>
      <w:r w:rsidRPr="00B56318">
        <w:rPr>
          <w:b/>
          <w:sz w:val="24"/>
        </w:rPr>
        <w:t xml:space="preserve">» </w:t>
      </w:r>
      <w:r>
        <w:rPr>
          <w:b/>
          <w:sz w:val="24"/>
        </w:rPr>
        <w:t>______</w:t>
      </w:r>
      <w:r w:rsidRPr="00B56318">
        <w:rPr>
          <w:b/>
          <w:sz w:val="24"/>
        </w:rPr>
        <w:t xml:space="preserve"> 20</w:t>
      </w:r>
      <w:r>
        <w:rPr>
          <w:b/>
          <w:sz w:val="24"/>
        </w:rPr>
        <w:t xml:space="preserve">  </w:t>
      </w:r>
      <w:r w:rsidRPr="00B56318">
        <w:rPr>
          <w:b/>
          <w:sz w:val="24"/>
        </w:rPr>
        <w:t xml:space="preserve"> года</w:t>
      </w:r>
    </w:p>
    <w:p w:rsidR="00B61A5B" w:rsidRDefault="00B61A5B" w:rsidP="00B61A5B">
      <w:pPr>
        <w:autoSpaceDE w:val="0"/>
        <w:jc w:val="right"/>
        <w:rPr>
          <w:rFonts w:eastAsia="Times New Roman"/>
          <w:b/>
          <w:sz w:val="24"/>
          <w:lang w:eastAsia="ar-SA"/>
        </w:rPr>
      </w:pPr>
    </w:p>
    <w:p w:rsidR="00B61A5B" w:rsidRDefault="00B61A5B" w:rsidP="00B61A5B">
      <w:pPr>
        <w:autoSpaceDE w:val="0"/>
        <w:ind w:left="4290"/>
        <w:rPr>
          <w:rFonts w:eastAsia="Times New Roman"/>
          <w:sz w:val="24"/>
          <w:szCs w:val="20"/>
          <w:lang w:eastAsia="ar-SA"/>
        </w:rPr>
      </w:pPr>
    </w:p>
    <w:p w:rsidR="00B61A5B" w:rsidRDefault="00B61A5B" w:rsidP="00B61A5B">
      <w:pPr>
        <w:autoSpaceDE w:val="0"/>
        <w:ind w:left="2640" w:hanging="2640"/>
        <w:jc w:val="center"/>
        <w:rPr>
          <w:rFonts w:eastAsia="Times New Roman"/>
          <w:b/>
          <w:bCs/>
          <w:sz w:val="24"/>
          <w:lang w:eastAsia="ar-SA"/>
        </w:rPr>
      </w:pPr>
      <w:r>
        <w:rPr>
          <w:rFonts w:eastAsia="Times New Roman"/>
          <w:b/>
          <w:bCs/>
          <w:sz w:val="24"/>
          <w:lang w:eastAsia="ar-SA"/>
        </w:rPr>
        <w:t xml:space="preserve">ПРОГРАММА №  </w:t>
      </w:r>
    </w:p>
    <w:p w:rsidR="00B61A5B" w:rsidRDefault="00B61A5B" w:rsidP="00B61A5B">
      <w:pPr>
        <w:autoSpaceDE w:val="0"/>
        <w:ind w:left="2640" w:hanging="2640"/>
        <w:jc w:val="center"/>
        <w:rPr>
          <w:rFonts w:eastAsia="Times New Roman"/>
          <w:b/>
          <w:sz w:val="24"/>
          <w:lang w:eastAsia="ar-SA"/>
        </w:rPr>
      </w:pPr>
      <w:r>
        <w:rPr>
          <w:rFonts w:eastAsia="Times New Roman"/>
          <w:b/>
          <w:sz w:val="24"/>
          <w:lang w:eastAsia="ar-SA"/>
        </w:rPr>
        <w:t>обучения требованиям охраны труда руководителей</w:t>
      </w:r>
    </w:p>
    <w:p w:rsidR="00B61A5B" w:rsidRDefault="00B61A5B" w:rsidP="00B61A5B">
      <w:pPr>
        <w:autoSpaceDE w:val="0"/>
        <w:ind w:left="2640" w:hanging="2640"/>
        <w:jc w:val="center"/>
        <w:rPr>
          <w:rFonts w:eastAsia="Times New Roman"/>
          <w:b/>
          <w:sz w:val="24"/>
          <w:lang w:eastAsia="ar-SA"/>
        </w:rPr>
      </w:pPr>
      <w:r>
        <w:rPr>
          <w:rFonts w:eastAsia="Times New Roman"/>
          <w:b/>
          <w:sz w:val="24"/>
          <w:lang w:eastAsia="ar-SA"/>
        </w:rPr>
        <w:t>и специалистов</w:t>
      </w:r>
    </w:p>
    <w:p w:rsidR="00B61A5B" w:rsidRDefault="00B61A5B" w:rsidP="00B61A5B">
      <w:pPr>
        <w:autoSpaceDE w:val="0"/>
        <w:ind w:left="2640"/>
        <w:rPr>
          <w:rFonts w:cs="Tahoma"/>
          <w:lang/>
        </w:rPr>
      </w:pPr>
    </w:p>
    <w:tbl>
      <w:tblPr>
        <w:tblpPr w:leftFromText="180" w:rightFromText="180" w:vertAnchor="text" w:horzAnchor="margin" w:tblpXSpec="center" w:tblpY="408"/>
        <w:tblW w:w="10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7"/>
        <w:gridCol w:w="7415"/>
        <w:gridCol w:w="1697"/>
      </w:tblGrid>
      <w:tr w:rsidR="00B61A5B" w:rsidTr="00B61A5B"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№№</w:t>
            </w:r>
          </w:p>
          <w:p w:rsidR="00B61A5B" w:rsidRDefault="00B61A5B" w:rsidP="00B61A5B">
            <w:pPr>
              <w:pStyle w:val="a3"/>
              <w:spacing w:line="200" w:lineRule="atLeast"/>
              <w:rPr>
                <w:rFonts w:cs="Tahoma"/>
                <w:sz w:val="24"/>
                <w:lang/>
              </w:rPr>
            </w:pPr>
            <w:proofErr w:type="spellStart"/>
            <w:proofErr w:type="gramStart"/>
            <w:r>
              <w:rPr>
                <w:rFonts w:cs="Tahoma"/>
                <w:sz w:val="24"/>
                <w:lang/>
              </w:rPr>
              <w:t>п</w:t>
            </w:r>
            <w:proofErr w:type="spellEnd"/>
            <w:proofErr w:type="gramEnd"/>
            <w:r>
              <w:rPr>
                <w:rFonts w:cs="Tahoma"/>
                <w:sz w:val="24"/>
                <w:lang/>
              </w:rPr>
              <w:t>/</w:t>
            </w:r>
            <w:proofErr w:type="spellStart"/>
            <w:r>
              <w:rPr>
                <w:rFonts w:cs="Tahoma"/>
                <w:sz w:val="24"/>
                <w:lang/>
              </w:rPr>
              <w:t>п</w:t>
            </w:r>
            <w:proofErr w:type="spellEnd"/>
          </w:p>
        </w:tc>
        <w:tc>
          <w:tcPr>
            <w:tcW w:w="7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Наименование темы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кол-во</w:t>
            </w:r>
          </w:p>
          <w:p w:rsidR="00B61A5B" w:rsidRDefault="00B61A5B" w:rsidP="00B61A5B">
            <w:pPr>
              <w:pStyle w:val="a3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времени</w:t>
            </w:r>
          </w:p>
        </w:tc>
      </w:tr>
      <w:tr w:rsidR="00B61A5B" w:rsidTr="00B61A5B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1.</w:t>
            </w:r>
          </w:p>
        </w:tc>
        <w:tc>
          <w:tcPr>
            <w:tcW w:w="7415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autoSpaceDE w:val="0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 xml:space="preserve">Нормы трудового права 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1,5 час</w:t>
            </w:r>
          </w:p>
        </w:tc>
      </w:tr>
      <w:tr w:rsidR="00B61A5B" w:rsidTr="00B61A5B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2.</w:t>
            </w:r>
          </w:p>
        </w:tc>
        <w:tc>
          <w:tcPr>
            <w:tcW w:w="7415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autoSpaceDE w:val="0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 xml:space="preserve">Требования охраны труда 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2 час</w:t>
            </w:r>
          </w:p>
        </w:tc>
      </w:tr>
      <w:tr w:rsidR="00B61A5B" w:rsidTr="00B61A5B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3.</w:t>
            </w:r>
          </w:p>
        </w:tc>
        <w:tc>
          <w:tcPr>
            <w:tcW w:w="7415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autoSpaceDE w:val="0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 xml:space="preserve">Управление охраной труда и проведение работ по охране труда в организации 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1,5 час</w:t>
            </w:r>
          </w:p>
        </w:tc>
      </w:tr>
      <w:tr w:rsidR="00B61A5B" w:rsidTr="00B61A5B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4.</w:t>
            </w:r>
          </w:p>
        </w:tc>
        <w:tc>
          <w:tcPr>
            <w:tcW w:w="7415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autoSpaceDE w:val="0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 xml:space="preserve">Права работников на охрану труда 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1 час</w:t>
            </w:r>
          </w:p>
        </w:tc>
      </w:tr>
      <w:tr w:rsidR="00B61A5B" w:rsidTr="00B61A5B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5.</w:t>
            </w:r>
          </w:p>
        </w:tc>
        <w:tc>
          <w:tcPr>
            <w:tcW w:w="7415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autoSpaceDE w:val="0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 xml:space="preserve">Особенности правового регулирования труда отдельных категорий работников 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1 час</w:t>
            </w:r>
          </w:p>
        </w:tc>
      </w:tr>
      <w:tr w:rsidR="00B61A5B" w:rsidTr="00B61A5B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6.</w:t>
            </w:r>
          </w:p>
        </w:tc>
        <w:tc>
          <w:tcPr>
            <w:tcW w:w="7415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autoSpaceDE w:val="0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Правовые и организационные основы безопасности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3 час</w:t>
            </w:r>
          </w:p>
        </w:tc>
      </w:tr>
      <w:tr w:rsidR="00B61A5B" w:rsidTr="00B61A5B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7.</w:t>
            </w:r>
          </w:p>
        </w:tc>
        <w:tc>
          <w:tcPr>
            <w:tcW w:w="7415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autoSpaceDE w:val="0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 xml:space="preserve">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2 час</w:t>
            </w:r>
          </w:p>
        </w:tc>
      </w:tr>
      <w:tr w:rsidR="00B61A5B" w:rsidTr="00B61A5B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8.</w:t>
            </w:r>
          </w:p>
        </w:tc>
        <w:tc>
          <w:tcPr>
            <w:tcW w:w="7415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autoSpaceDE w:val="0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Организация первой помощи пострадавшим на производстве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2 час</w:t>
            </w:r>
          </w:p>
        </w:tc>
      </w:tr>
      <w:tr w:rsidR="00B61A5B" w:rsidTr="00B61A5B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9.</w:t>
            </w:r>
          </w:p>
        </w:tc>
        <w:tc>
          <w:tcPr>
            <w:tcW w:w="7415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autoSpaceDE w:val="0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 xml:space="preserve">Государственный надзор и </w:t>
            </w:r>
            <w:proofErr w:type="gramStart"/>
            <w:r>
              <w:rPr>
                <w:rFonts w:cs="Tahoma"/>
                <w:color w:val="000000"/>
                <w:sz w:val="24"/>
                <w:lang/>
              </w:rPr>
              <w:t>контроль за</w:t>
            </w:r>
            <w:proofErr w:type="gramEnd"/>
            <w:r>
              <w:rPr>
                <w:rFonts w:cs="Tahoma"/>
                <w:color w:val="000000"/>
                <w:sz w:val="24"/>
                <w:lang/>
              </w:rPr>
              <w:t xml:space="preserve"> соблюдением трудового законодательства 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0,5 час</w:t>
            </w:r>
          </w:p>
        </w:tc>
      </w:tr>
      <w:tr w:rsidR="00B61A5B" w:rsidTr="00B61A5B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10.</w:t>
            </w:r>
          </w:p>
        </w:tc>
        <w:tc>
          <w:tcPr>
            <w:tcW w:w="7415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autoSpaceDE w:val="0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 xml:space="preserve">Информационные технологии в управлении охраной труда 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0,5 час</w:t>
            </w:r>
          </w:p>
        </w:tc>
      </w:tr>
      <w:tr w:rsidR="00B61A5B" w:rsidTr="00B61A5B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11</w:t>
            </w:r>
          </w:p>
        </w:tc>
        <w:tc>
          <w:tcPr>
            <w:tcW w:w="7415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autoSpaceDE w:val="0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 xml:space="preserve">Социально-экономическое значение охраны труда 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1 час</w:t>
            </w:r>
          </w:p>
        </w:tc>
      </w:tr>
      <w:tr w:rsidR="00B61A5B" w:rsidTr="00B61A5B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12</w:t>
            </w:r>
          </w:p>
        </w:tc>
        <w:tc>
          <w:tcPr>
            <w:tcW w:w="7415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autoSpaceDE w:val="0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Консультирование, тестирование (самоконтроль), экзамен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4 час</w:t>
            </w:r>
          </w:p>
        </w:tc>
      </w:tr>
      <w:tr w:rsidR="00B61A5B" w:rsidTr="00B61A5B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</w:p>
        </w:tc>
        <w:tc>
          <w:tcPr>
            <w:tcW w:w="7415" w:type="dxa"/>
            <w:tcBorders>
              <w:left w:val="single" w:sz="1" w:space="0" w:color="000000"/>
              <w:bottom w:val="single" w:sz="1" w:space="0" w:color="000000"/>
            </w:tcBorders>
          </w:tcPr>
          <w:p w:rsidR="00B61A5B" w:rsidRDefault="00B61A5B" w:rsidP="00B61A5B">
            <w:pPr>
              <w:autoSpaceDE w:val="0"/>
              <w:snapToGrid w:val="0"/>
              <w:spacing w:line="200" w:lineRule="atLeast"/>
              <w:rPr>
                <w:rFonts w:cs="Tahoma"/>
                <w:color w:val="000000"/>
                <w:sz w:val="24"/>
                <w:lang/>
              </w:rPr>
            </w:pPr>
            <w:r>
              <w:rPr>
                <w:rFonts w:cs="Tahoma"/>
                <w:color w:val="000000"/>
                <w:sz w:val="24"/>
                <w:lang/>
              </w:rPr>
              <w:t>ИТОГО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A5B" w:rsidRDefault="00B61A5B" w:rsidP="00B61A5B">
            <w:pPr>
              <w:pStyle w:val="a3"/>
              <w:snapToGrid w:val="0"/>
              <w:spacing w:line="200" w:lineRule="atLeast"/>
              <w:rPr>
                <w:rFonts w:cs="Tahoma"/>
                <w:sz w:val="24"/>
                <w:lang/>
              </w:rPr>
            </w:pPr>
            <w:r>
              <w:rPr>
                <w:rFonts w:cs="Tahoma"/>
                <w:sz w:val="24"/>
                <w:lang/>
              </w:rPr>
              <w:t>20 часов</w:t>
            </w:r>
          </w:p>
        </w:tc>
      </w:tr>
    </w:tbl>
    <w:p w:rsidR="00B61A5B" w:rsidRDefault="00B61A5B" w:rsidP="00B61A5B">
      <w:pPr>
        <w:autoSpaceDE w:val="0"/>
        <w:spacing w:after="222" w:line="200" w:lineRule="atLeast"/>
        <w:jc w:val="center"/>
        <w:rPr>
          <w:rFonts w:cs="Tahoma"/>
          <w:sz w:val="24"/>
          <w:lang/>
        </w:rPr>
      </w:pPr>
      <w:r>
        <w:rPr>
          <w:rFonts w:eastAsia="Times New Roman"/>
          <w:sz w:val="24"/>
          <w:szCs w:val="20"/>
          <w:lang w:eastAsia="ar-SA"/>
        </w:rPr>
        <w:t>Тематический план</w:t>
      </w:r>
      <w:r>
        <w:rPr>
          <w:rFonts w:cs="Tahoma"/>
          <w:sz w:val="24"/>
          <w:lang/>
        </w:rPr>
        <w:t xml:space="preserve"> </w:t>
      </w:r>
    </w:p>
    <w:p w:rsidR="00B61A5B" w:rsidRDefault="00B61A5B" w:rsidP="00B61A5B">
      <w:pPr>
        <w:keepLines/>
        <w:autoSpaceDE w:val="0"/>
        <w:spacing w:line="200" w:lineRule="atLeast"/>
        <w:rPr>
          <w:rFonts w:cs="Tahoma"/>
          <w:lang/>
        </w:rPr>
      </w:pPr>
    </w:p>
    <w:p w:rsidR="00B61A5B" w:rsidRDefault="00B61A5B" w:rsidP="00B61A5B">
      <w:pPr>
        <w:keepLines/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keepLines/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keepLines/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rPr>
          <w:rFonts w:cs="Tahoma"/>
          <w:b/>
          <w:bCs/>
          <w:color w:val="000000"/>
          <w:sz w:val="24"/>
          <w:lang/>
        </w:rPr>
      </w:pPr>
      <w:r>
        <w:rPr>
          <w:rFonts w:cs="Tahoma"/>
          <w:b/>
          <w:bCs/>
          <w:color w:val="000000"/>
          <w:sz w:val="24"/>
          <w:lang/>
        </w:rPr>
        <w:t xml:space="preserve">Тема № 1. Нормы трудового права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Трудовое законодательство и иные нормативные правовые акты, содержащие нормы трудового права. Трудовые отношения. Трудовой договор. Формы социального партнерства. Ответственность сторон. Регулирование социально-трудовых отношений. Принятие локальных нормативных актов, содержащих нормы трудового права. Правила внутреннего трудового распорядка организации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rPr>
          <w:rFonts w:cs="Tahoma"/>
          <w:b/>
          <w:bCs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rPr>
          <w:rFonts w:cs="Tahoma"/>
          <w:b/>
          <w:bCs/>
          <w:color w:val="000000"/>
          <w:sz w:val="24"/>
          <w:lang/>
        </w:rPr>
      </w:pPr>
      <w:r>
        <w:rPr>
          <w:rFonts w:cs="Tahoma"/>
          <w:b/>
          <w:bCs/>
          <w:color w:val="000000"/>
          <w:sz w:val="24"/>
          <w:lang/>
        </w:rPr>
        <w:t xml:space="preserve">Тема № 2. Требования охраны труда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lastRenderedPageBreak/>
        <w:t xml:space="preserve">Законодательство Российской Федерации об охране труда. Система нормативных правовых актов, содержащих государственные нормативные требования охраны труда. Порядок разработки и утверждения подзаконных нормативных правовых актов об охране труда. Требования, предъявляемые к инструкциям по охране труда для работников. Обязанности работодателя по обеспечению безопасных условий и охраны труда. Обязанности работника в области охраны труда. </w:t>
      </w: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Требования охраны труда к производственным объектам, служебным, бытовым помещениям и продукции. Требования к организации рабочего места. Ответственность работодателя и должностных лиц за нарушение требований охраны труда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  <w:r>
        <w:rPr>
          <w:rFonts w:cs="Tahoma"/>
          <w:b/>
          <w:bCs/>
          <w:color w:val="000000"/>
          <w:sz w:val="24"/>
          <w:lang/>
        </w:rPr>
        <w:t>Тема № 3. Управление охраной труда и проведение работ по охране труда в организации</w:t>
      </w:r>
      <w:r>
        <w:rPr>
          <w:rFonts w:cs="Tahoma"/>
          <w:color w:val="000000"/>
          <w:sz w:val="24"/>
          <w:lang/>
        </w:rPr>
        <w:t xml:space="preserve">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Государственное управление охраной труда. Органы управления охраной труда федерального, регионального и местного уровня, их функции, задачи, область их ответственности. Основные направления в работе по охране труда. Управление службой охраны труда организации. Служба (специалист) охраны труда организации. Нормативная численность работников службы.  Направления </w:t>
      </w:r>
      <w:proofErr w:type="gramStart"/>
      <w:r>
        <w:rPr>
          <w:rFonts w:cs="Tahoma"/>
          <w:color w:val="000000"/>
          <w:sz w:val="24"/>
          <w:lang/>
        </w:rPr>
        <w:t>деятельности работников службы охраны труда</w:t>
      </w:r>
      <w:proofErr w:type="gramEnd"/>
      <w:r>
        <w:rPr>
          <w:rFonts w:cs="Tahoma"/>
          <w:color w:val="000000"/>
          <w:sz w:val="24"/>
          <w:lang/>
        </w:rPr>
        <w:t xml:space="preserve">. Регламентация должностных </w:t>
      </w:r>
      <w:proofErr w:type="gramStart"/>
      <w:r>
        <w:rPr>
          <w:rFonts w:cs="Tahoma"/>
          <w:color w:val="000000"/>
          <w:sz w:val="24"/>
          <w:lang/>
        </w:rPr>
        <w:t>обязанностей работников службы охраны труда</w:t>
      </w:r>
      <w:proofErr w:type="gramEnd"/>
      <w:r>
        <w:rPr>
          <w:rFonts w:cs="Tahoma"/>
          <w:color w:val="000000"/>
          <w:sz w:val="24"/>
          <w:lang/>
        </w:rPr>
        <w:t xml:space="preserve">. Комитеты (комиссии) по охране труда.  Организация работы уполномоченных по охране труда. Планирование мероприятий по охране труда. Организация </w:t>
      </w:r>
      <w:proofErr w:type="gramStart"/>
      <w:r>
        <w:rPr>
          <w:rFonts w:cs="Tahoma"/>
          <w:color w:val="000000"/>
          <w:sz w:val="24"/>
          <w:lang/>
        </w:rPr>
        <w:t>контроля за</w:t>
      </w:r>
      <w:proofErr w:type="gramEnd"/>
      <w:r>
        <w:rPr>
          <w:rFonts w:cs="Tahoma"/>
          <w:color w:val="000000"/>
          <w:sz w:val="24"/>
          <w:lang/>
        </w:rPr>
        <w:t xml:space="preserve"> состоянием охраны труда в организации. </w:t>
      </w:r>
      <w:proofErr w:type="gramStart"/>
      <w:r>
        <w:rPr>
          <w:rFonts w:cs="Tahoma"/>
          <w:color w:val="000000"/>
          <w:sz w:val="24"/>
          <w:lang/>
        </w:rPr>
        <w:t>Обучение по охране</w:t>
      </w:r>
      <w:proofErr w:type="gramEnd"/>
      <w:r>
        <w:rPr>
          <w:rFonts w:cs="Tahoma"/>
          <w:color w:val="000000"/>
          <w:sz w:val="24"/>
          <w:lang/>
        </w:rPr>
        <w:t xml:space="preserve"> труда и проверки знаний требований охраны труда. Ведение документации по охране труда в организации. Организация хранения документации. Сертификация работ по охране труда в организации.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rPr>
          <w:rFonts w:cs="Tahoma"/>
          <w:b/>
          <w:bCs/>
          <w:color w:val="000000"/>
          <w:sz w:val="24"/>
          <w:lang/>
        </w:rPr>
      </w:pPr>
      <w:r>
        <w:rPr>
          <w:rFonts w:cs="Tahoma"/>
          <w:b/>
          <w:bCs/>
          <w:color w:val="000000"/>
          <w:sz w:val="24"/>
          <w:lang/>
        </w:rPr>
        <w:t xml:space="preserve">Тема № 4. Права работников на охрану труда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Обеспечение безопасной деятельности работников. Санитарно-бытовое и лечебно-профилактическое обслуживание работников. Обязательные и периодические медицинские осмотры, психиатрическое освидетельствование работников, осуществляющих отдельные виды деятельности. Гарантии работникам, направляемым на медицинское обследование. Обеспечение работников специальной одеждой, специальной обувью и средствами индивидуальной защиты. </w:t>
      </w: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Компенсации за тяжелую работу и работу с вредными или опасными условиями труда. Обучение безопасным методам и приемам труда.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rPr>
          <w:rFonts w:cs="Tahoma"/>
          <w:b/>
          <w:bCs/>
          <w:color w:val="000000"/>
          <w:sz w:val="24"/>
          <w:lang/>
        </w:rPr>
      </w:pPr>
      <w:r>
        <w:rPr>
          <w:rFonts w:cs="Tahoma"/>
          <w:b/>
          <w:bCs/>
          <w:color w:val="000000"/>
          <w:sz w:val="24"/>
          <w:lang/>
        </w:rPr>
        <w:t xml:space="preserve">Тема № 5. Особенности правового регулирования труда отдельных категорий работников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Охрана труда женщин. Охрана труда молодежи.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  <w:r>
        <w:rPr>
          <w:rFonts w:cs="Tahoma"/>
          <w:b/>
          <w:bCs/>
          <w:color w:val="000000"/>
          <w:sz w:val="24"/>
          <w:lang/>
        </w:rPr>
        <w:t xml:space="preserve">Тема № 6. Правовые и организационные основы безопасности </w:t>
      </w:r>
      <w:r>
        <w:rPr>
          <w:rFonts w:cs="Tahoma"/>
          <w:color w:val="000000"/>
          <w:sz w:val="24"/>
          <w:lang/>
        </w:rPr>
        <w:t xml:space="preserve">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Основные принципы обеспечения безопасности труда. Безопасность производственного оборудования. Техническое состояние машин и оборудования. Безопасная эксплуатация оборудования, инструмента, приспособлений, инвентаря, транспортных средств, предохранительных и оградительных устройств. Безопасность технологических процессов. </w:t>
      </w: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Совершенствование технологических процессов и оборудования. Локализация зон негативного воздействия на работника. Порядок оформления допуска к работам с повышенной опасностью. </w:t>
      </w: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Требования </w:t>
      </w:r>
      <w:proofErr w:type="spellStart"/>
      <w:r>
        <w:rPr>
          <w:rFonts w:cs="Tahoma"/>
          <w:color w:val="000000"/>
          <w:sz w:val="24"/>
          <w:lang/>
        </w:rPr>
        <w:t>электробезопасности</w:t>
      </w:r>
      <w:proofErr w:type="spellEnd"/>
      <w:r>
        <w:rPr>
          <w:rFonts w:cs="Tahoma"/>
          <w:color w:val="000000"/>
          <w:sz w:val="24"/>
          <w:lang/>
        </w:rPr>
        <w:t xml:space="preserve"> и </w:t>
      </w:r>
      <w:proofErr w:type="spellStart"/>
      <w:r>
        <w:rPr>
          <w:rFonts w:cs="Tahoma"/>
          <w:color w:val="000000"/>
          <w:sz w:val="24"/>
          <w:lang/>
        </w:rPr>
        <w:t>пожаробезопасности</w:t>
      </w:r>
      <w:proofErr w:type="spellEnd"/>
      <w:r>
        <w:rPr>
          <w:rFonts w:cs="Tahoma"/>
          <w:color w:val="000000"/>
          <w:sz w:val="24"/>
          <w:lang/>
        </w:rPr>
        <w:t xml:space="preserve">. Оценка деятельности </w:t>
      </w:r>
      <w:r>
        <w:rPr>
          <w:rFonts w:cs="Tahoma"/>
          <w:color w:val="000000"/>
          <w:sz w:val="24"/>
          <w:lang/>
        </w:rPr>
        <w:lastRenderedPageBreak/>
        <w:t xml:space="preserve">организаций (их подразделений) по обеспечению охраны труда и выполнению требований, применяемых законов и правил, коллективных соглашений (договоров) и иных обязательств в области охраны труда.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rPr>
          <w:rFonts w:cs="Tahoma"/>
          <w:b/>
          <w:bCs/>
          <w:color w:val="000000"/>
          <w:sz w:val="24"/>
          <w:lang/>
        </w:rPr>
      </w:pPr>
      <w:r>
        <w:rPr>
          <w:rFonts w:cs="Tahoma"/>
          <w:b/>
          <w:bCs/>
          <w:color w:val="000000"/>
          <w:sz w:val="24"/>
          <w:lang/>
        </w:rPr>
        <w:t xml:space="preserve">Тема № 7. Обязательное социальное страхование от несчастных случаев на производстве и профессиональных заболеваний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Функции страхования. Виды страхования. Правовое регулирование системы обязательного социального страхования от несчастных случаев на производстве и профессиональных заболеваний. Порядок расследования и учета несчастных случаев на производстве. Порядок расследования и учета профессиональных заболеваний. Гарантии и компенсации при несчастном случае на производстве и профессиональном заболевании. Порядок возмещения вреда пострадавшим на производстве. Финансирование предупредительных мер по сокращению производственного травматизма и профессиональных заболеваний работников.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rPr>
          <w:rFonts w:cs="Tahoma"/>
          <w:b/>
          <w:bCs/>
          <w:color w:val="000000"/>
          <w:sz w:val="24"/>
          <w:lang/>
        </w:rPr>
      </w:pPr>
      <w:r>
        <w:rPr>
          <w:rFonts w:cs="Tahoma"/>
          <w:b/>
          <w:bCs/>
          <w:color w:val="000000"/>
          <w:sz w:val="24"/>
          <w:lang/>
        </w:rPr>
        <w:t xml:space="preserve">Тема № 8. Организация первой помощи пострадавшим на производстве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Рекомендации по оказанию первой помощи пострадавшим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  <w:r>
        <w:rPr>
          <w:rFonts w:cs="Tahoma"/>
          <w:b/>
          <w:bCs/>
          <w:color w:val="000000"/>
          <w:sz w:val="24"/>
          <w:lang/>
        </w:rPr>
        <w:t xml:space="preserve">Тема № 9. Государственный надзор и </w:t>
      </w:r>
      <w:proofErr w:type="gramStart"/>
      <w:r>
        <w:rPr>
          <w:rFonts w:cs="Tahoma"/>
          <w:b/>
          <w:bCs/>
          <w:color w:val="000000"/>
          <w:sz w:val="24"/>
          <w:lang/>
        </w:rPr>
        <w:t>контроль за</w:t>
      </w:r>
      <w:proofErr w:type="gramEnd"/>
      <w:r>
        <w:rPr>
          <w:rFonts w:cs="Tahoma"/>
          <w:b/>
          <w:bCs/>
          <w:color w:val="000000"/>
          <w:sz w:val="24"/>
          <w:lang/>
        </w:rPr>
        <w:t xml:space="preserve"> соблюдением трудового законодательства</w:t>
      </w:r>
      <w:r>
        <w:rPr>
          <w:rFonts w:cs="Tahoma"/>
          <w:color w:val="000000"/>
          <w:sz w:val="24"/>
          <w:lang/>
        </w:rPr>
        <w:t xml:space="preserve">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Порядок инспектирования организаций. Полномочия органов федеральной инспекции труда. </w:t>
      </w: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Государственная экспертиза условий труда. Разногласия по вопросам обоснованности решений по результатам проведенной экспертизы. Общественный </w:t>
      </w:r>
      <w:proofErr w:type="gramStart"/>
      <w:r>
        <w:rPr>
          <w:rFonts w:cs="Tahoma"/>
          <w:color w:val="000000"/>
          <w:sz w:val="24"/>
          <w:lang/>
        </w:rPr>
        <w:t>контроль за</w:t>
      </w:r>
      <w:proofErr w:type="gramEnd"/>
      <w:r>
        <w:rPr>
          <w:rFonts w:cs="Tahoma"/>
          <w:color w:val="000000"/>
          <w:sz w:val="24"/>
          <w:lang/>
        </w:rPr>
        <w:t xml:space="preserve"> охраной труда. Выполнение предписаний должностных лиц органов государственного надзора и контроля, рассмотрение представлений органов общественного контроля.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  <w:r>
        <w:rPr>
          <w:rFonts w:cs="Tahoma"/>
          <w:b/>
          <w:bCs/>
          <w:color w:val="000000"/>
          <w:sz w:val="24"/>
          <w:lang/>
        </w:rPr>
        <w:t>10. Информационные технологии в управлении охраной труда</w:t>
      </w:r>
      <w:r>
        <w:rPr>
          <w:rFonts w:cs="Tahoma"/>
          <w:color w:val="000000"/>
          <w:sz w:val="24"/>
          <w:lang/>
        </w:rPr>
        <w:t xml:space="preserve">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>Использование справочно-правовых систем. Использование сети интернет. Информационные ресурсы инспекции, органов государственной власти.</w:t>
      </w: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>Информационные технологии в обучении и ознакомлении работников с требованиями охраны труда.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  <w:r>
        <w:rPr>
          <w:rFonts w:cs="Tahoma"/>
          <w:b/>
          <w:bCs/>
          <w:color w:val="000000"/>
          <w:sz w:val="24"/>
          <w:lang/>
        </w:rPr>
        <w:t>11. Социально-экономическое значение охраны труда</w:t>
      </w:r>
      <w:r>
        <w:rPr>
          <w:rFonts w:cs="Tahoma"/>
          <w:color w:val="000000"/>
          <w:sz w:val="24"/>
          <w:lang/>
        </w:rPr>
        <w:t xml:space="preserve"> 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Взаимосвязи между экономической и технологической безопасностью. Фонды охраны труда и источники финансирования мероприятий по улучшению условий и охраны труда в организациях. </w:t>
      </w: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Пропаганда охраны труда. </w:t>
      </w: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spacing w:line="200" w:lineRule="atLeast"/>
        <w:jc w:val="both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Программа разработана на основе примерной программы </w:t>
      </w:r>
      <w:proofErr w:type="gramStart"/>
      <w:r>
        <w:rPr>
          <w:rFonts w:cs="Tahoma"/>
          <w:color w:val="000000"/>
          <w:sz w:val="24"/>
          <w:lang/>
        </w:rPr>
        <w:t>обучения по охране</w:t>
      </w:r>
      <w:proofErr w:type="gramEnd"/>
      <w:r>
        <w:rPr>
          <w:rFonts w:cs="Tahoma"/>
          <w:color w:val="000000"/>
          <w:sz w:val="24"/>
          <w:lang/>
        </w:rPr>
        <w:t xml:space="preserve"> труда руководителей бюджетных учреждений, утв. приказом Минтруда от 21.06.03 № 153</w:t>
      </w:r>
    </w:p>
    <w:p w:rsidR="00B61A5B" w:rsidRDefault="00B61A5B" w:rsidP="00B61A5B">
      <w:pPr>
        <w:autoSpaceDE w:val="0"/>
        <w:spacing w:line="200" w:lineRule="atLeast"/>
        <w:rPr>
          <w:rFonts w:cs="Tahoma"/>
          <w:color w:val="000000"/>
          <w:sz w:val="24"/>
          <w:lang/>
        </w:rPr>
      </w:pPr>
    </w:p>
    <w:p w:rsidR="00B61A5B" w:rsidRPr="000245EC" w:rsidRDefault="00B61A5B" w:rsidP="00B61A5B">
      <w:pPr>
        <w:rPr>
          <w:rFonts w:cs="Tahoma"/>
          <w:color w:val="000000"/>
          <w:sz w:val="24"/>
          <w:lang/>
        </w:rPr>
      </w:pPr>
    </w:p>
    <w:p w:rsidR="00B61A5B" w:rsidRDefault="00B61A5B" w:rsidP="00B61A5B">
      <w:pPr>
        <w:autoSpaceDE w:val="0"/>
        <w:autoSpaceDN w:val="0"/>
        <w:adjustRightInd w:val="0"/>
        <w:rPr>
          <w:rFonts w:cs="Tahoma"/>
          <w:color w:val="000000"/>
          <w:sz w:val="24"/>
          <w:lang/>
        </w:rPr>
      </w:pPr>
      <w:r w:rsidRPr="000245EC">
        <w:rPr>
          <w:rFonts w:cs="Tahoma"/>
          <w:color w:val="000000"/>
          <w:sz w:val="24"/>
          <w:lang/>
        </w:rPr>
        <w:t>Разработал:</w:t>
      </w:r>
    </w:p>
    <w:p w:rsidR="00B61A5B" w:rsidRPr="000245EC" w:rsidRDefault="00B61A5B" w:rsidP="00B61A5B">
      <w:pPr>
        <w:autoSpaceDE w:val="0"/>
        <w:autoSpaceDN w:val="0"/>
        <w:adjustRightInd w:val="0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>_________________________________/_________________________</w:t>
      </w:r>
    </w:p>
    <w:p w:rsidR="00214BFB" w:rsidRDefault="00214BFB"/>
    <w:sectPr w:rsidR="00214BFB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5B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D7501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012A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3315"/>
    <w:rsid w:val="009E5A2D"/>
    <w:rsid w:val="009E6981"/>
    <w:rsid w:val="009E7551"/>
    <w:rsid w:val="009E7BC8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A5B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333E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2E43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21D6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4317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61A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1034</Words>
  <Characters>5899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2017-08-11T16:14:00Z</dcterms:created>
  <dcterms:modified xsi:type="dcterms:W3CDTF">2017-08-11T16:20:00Z</dcterms:modified>
</cp:coreProperties>
</file>